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jc w:val="center"/>
        <w:rPr>
          <w:rFonts w:ascii="宋体" w:hAnsi="宋体" w:eastAsia="宋体" w:cs="宋体"/>
          <w:b/>
          <w:bCs/>
          <w:sz w:val="32"/>
          <w:szCs w:val="32"/>
        </w:rPr>
      </w:pPr>
      <w:r>
        <w:rPr>
          <w:rFonts w:hint="eastAsia" w:ascii="宋体" w:hAnsi="宋体" w:eastAsia="宋体" w:cs="宋体"/>
          <w:b/>
          <w:bCs/>
          <w:sz w:val="32"/>
          <w:szCs w:val="32"/>
        </w:rPr>
        <w:drawing>
          <wp:anchor distT="0" distB="0" distL="114300" distR="114300" simplePos="0" relativeHeight="251659264" behindDoc="0" locked="0" layoutInCell="1" allowOverlap="1">
            <wp:simplePos x="0" y="0"/>
            <wp:positionH relativeFrom="column">
              <wp:posOffset>7559040</wp:posOffset>
            </wp:positionH>
            <wp:positionV relativeFrom="paragraph">
              <wp:posOffset>-118110</wp:posOffset>
            </wp:positionV>
            <wp:extent cx="593090" cy="593090"/>
            <wp:effectExtent l="0" t="0" r="3810" b="3810"/>
            <wp:wrapNone/>
            <wp:docPr id="9" name="图片 10"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校徽"/>
                    <pic:cNvPicPr>
                      <a:picLocks noChangeAspect="1"/>
                    </pic:cNvPicPr>
                  </pic:nvPicPr>
                  <pic:blipFill>
                    <a:blip r:embed="rId4"/>
                    <a:stretch>
                      <a:fillRect/>
                    </a:stretch>
                  </pic:blipFill>
                  <pic:spPr>
                    <a:xfrm>
                      <a:off x="0" y="0"/>
                      <a:ext cx="593090" cy="593090"/>
                    </a:xfrm>
                    <a:prstGeom prst="rect">
                      <a:avLst/>
                    </a:prstGeom>
                    <a:noFill/>
                    <a:ln>
                      <a:noFill/>
                    </a:ln>
                  </pic:spPr>
                </pic:pic>
              </a:graphicData>
            </a:graphic>
          </wp:anchor>
        </w:drawing>
      </w:r>
      <w:r>
        <w:rPr>
          <w:rFonts w:hint="eastAsia" w:ascii="宋体" w:hAnsi="宋体" w:eastAsia="宋体" w:cs="宋体"/>
          <w:b/>
          <w:bCs/>
          <w:sz w:val="32"/>
          <w:szCs w:val="32"/>
        </w:rPr>
        <w:drawing>
          <wp:anchor distT="0" distB="0" distL="114300" distR="114300" simplePos="0" relativeHeight="251660288" behindDoc="0" locked="0" layoutInCell="1" allowOverlap="1">
            <wp:simplePos x="0" y="0"/>
            <wp:positionH relativeFrom="column">
              <wp:posOffset>8209280</wp:posOffset>
            </wp:positionH>
            <wp:positionV relativeFrom="paragraph">
              <wp:posOffset>-118110</wp:posOffset>
            </wp:positionV>
            <wp:extent cx="1308735" cy="581025"/>
            <wp:effectExtent l="0" t="0" r="12065" b="3175"/>
            <wp:wrapNone/>
            <wp:docPr id="15" name="图片 16" descr="IFCI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FCIM-Logo"/>
                    <pic:cNvPicPr>
                      <a:picLocks noChangeAspect="1"/>
                    </pic:cNvPicPr>
                  </pic:nvPicPr>
                  <pic:blipFill>
                    <a:blip r:embed="rId5"/>
                    <a:stretch>
                      <a:fillRect/>
                    </a:stretch>
                  </pic:blipFill>
                  <pic:spPr>
                    <a:xfrm>
                      <a:off x="0" y="0"/>
                      <a:ext cx="1308735" cy="581025"/>
                    </a:xfrm>
                    <a:prstGeom prst="rect">
                      <a:avLst/>
                    </a:prstGeom>
                    <a:noFill/>
                    <a:ln>
                      <a:noFill/>
                    </a:ln>
                  </pic:spPr>
                </pic:pic>
              </a:graphicData>
            </a:graphic>
          </wp:anchor>
        </w:drawing>
      </w:r>
      <w:r>
        <w:rPr>
          <w:rFonts w:hint="eastAsia" w:ascii="宋体" w:hAnsi="宋体" w:eastAsia="宋体" w:cs="宋体"/>
          <w:b/>
          <w:bCs/>
          <w:sz w:val="32"/>
          <w:szCs w:val="32"/>
        </w:rPr>
        <w:t>同济大学中法工程和管理学院中法合作理工类双文凭项目</w:t>
      </w:r>
    </w:p>
    <w:p>
      <w:pPr>
        <w:pStyle w:val="4"/>
        <w:widowControl/>
        <w:spacing w:beforeAutospacing="0" w:afterAutospacing="0" w:line="360" w:lineRule="auto"/>
        <w:jc w:val="center"/>
        <w:rPr>
          <w:rFonts w:ascii="宋体" w:hAnsi="宋体" w:eastAsia="宋体" w:cs="宋体"/>
          <w:b/>
          <w:bCs/>
          <w:sz w:val="18"/>
          <w:szCs w:val="18"/>
        </w:rPr>
      </w:pPr>
    </w:p>
    <w:p>
      <w:pPr>
        <w:numPr>
          <w:ilvl w:val="0"/>
          <w:numId w:val="1"/>
        </w:numPr>
        <w:spacing w:line="360" w:lineRule="auto"/>
        <w:ind w:right="-41"/>
        <w:rPr>
          <w:rFonts w:ascii="宋体" w:hAnsi="宋体" w:eastAsia="宋体" w:cs="宋体"/>
          <w:szCs w:val="21"/>
        </w:rPr>
      </w:pPr>
      <w:r>
        <w:rPr>
          <w:rFonts w:hint="eastAsia" w:ascii="宋体" w:hAnsi="宋体" w:eastAsia="宋体" w:cs="宋体"/>
          <w:b/>
          <w:sz w:val="24"/>
          <w:szCs w:val="21"/>
        </w:rPr>
        <w:t>项目介绍：</w:t>
      </w:r>
    </w:p>
    <w:p>
      <w:pPr>
        <w:spacing w:line="360" w:lineRule="auto"/>
        <w:ind w:right="-40" w:firstLine="420" w:firstLineChars="200"/>
        <w:rPr>
          <w:rFonts w:ascii="宋体" w:hAnsi="宋体" w:eastAsia="宋体" w:cs="宋体"/>
          <w:szCs w:val="21"/>
        </w:rPr>
      </w:pPr>
      <w:r>
        <w:rPr>
          <w:rFonts w:hint="eastAsia" w:ascii="宋体" w:hAnsi="宋体" w:eastAsia="宋体" w:cs="宋体"/>
          <w:szCs w:val="21"/>
        </w:rPr>
        <w:t>法国高等教育体系分为公立大学与精英大学校（Grande École）。精英大学校为法国和欧洲培养顶尖人才，有总统、部长、诺贝尔奖获得者和世界500强企业高层等。工程师学校属于精英大学校，每年招生数极少，</w:t>
      </w:r>
      <w:r>
        <w:rPr>
          <w:rFonts w:hint="eastAsia" w:ascii="宋体" w:hAnsi="宋体" w:eastAsia="宋体" w:cs="宋体"/>
          <w:szCs w:val="21"/>
          <w:lang w:val="fr-CA"/>
        </w:rPr>
        <w:t>所</w:t>
      </w:r>
      <w:r>
        <w:rPr>
          <w:rFonts w:hint="eastAsia" w:ascii="宋体" w:hAnsi="宋体" w:eastAsia="宋体" w:cs="宋体"/>
          <w:szCs w:val="21"/>
        </w:rPr>
        <w:t>颁发的工程师文凭（两证合一，同时授予硕士学位）是法国最具含金量的文凭之一（毕业生被称作“ingénieur”，词源来自génie，意为“天才”）；持有该文凭者尤其受到企业青睐，有较好的职业发展前景。2008年，同济大学与法国国立桥路大学校（ENPC）共同签署中国境内第一个颁发法国工程师文凭的中法双文凭合作项目协议；之后，该模式拓展至与十余所工程师学校的合作，每年招收同济大学理工类相关专业的优秀学生。</w:t>
      </w:r>
    </w:p>
    <w:p>
      <w:pPr>
        <w:spacing w:line="360" w:lineRule="auto"/>
        <w:ind w:right="-40" w:firstLine="360" w:firstLineChars="200"/>
        <w:rPr>
          <w:rFonts w:ascii="宋体" w:hAnsi="宋体" w:eastAsia="宋体" w:cs="宋体"/>
          <w:sz w:val="18"/>
          <w:szCs w:val="18"/>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项目模式：“4+1+2（法国）” 或“4+1+1.5（法国）+0.5”</w:t>
      </w:r>
    </w:p>
    <w:p>
      <w:pPr>
        <w:numPr>
          <w:ilvl w:val="0"/>
          <w:numId w:val="2"/>
        </w:numPr>
        <w:adjustRightInd w:val="0"/>
        <w:snapToGrid w:val="0"/>
        <w:spacing w:line="360" w:lineRule="auto"/>
        <w:rPr>
          <w:rFonts w:ascii="宋体" w:hAnsi="宋体" w:eastAsia="宋体" w:cs="宋体"/>
          <w:szCs w:val="21"/>
        </w:rPr>
      </w:pPr>
      <w:r>
        <w:rPr>
          <w:rFonts w:hint="eastAsia" w:ascii="宋体" w:hAnsi="宋体" w:eastAsia="宋体" w:cs="宋体"/>
          <w:b/>
          <w:szCs w:val="21"/>
        </w:rPr>
        <w:t>4年</w:t>
      </w:r>
      <w:r>
        <w:rPr>
          <w:rFonts w:hint="eastAsia" w:ascii="宋体" w:hAnsi="宋体" w:eastAsia="宋体" w:cs="宋体"/>
          <w:szCs w:val="21"/>
        </w:rPr>
        <w:t>本科和</w:t>
      </w:r>
      <w:r>
        <w:rPr>
          <w:rFonts w:hint="eastAsia" w:ascii="宋体" w:hAnsi="宋体" w:eastAsia="宋体" w:cs="宋体"/>
          <w:b/>
          <w:szCs w:val="21"/>
        </w:rPr>
        <w:t>1</w:t>
      </w:r>
      <w:r>
        <w:rPr>
          <w:rFonts w:hint="eastAsia" w:ascii="宋体" w:hAnsi="宋体" w:eastAsia="宋体" w:cs="宋体"/>
          <w:szCs w:val="21"/>
        </w:rPr>
        <w:t>年研究生在同济大学相关院系学习（期间学生自行获得同济大学硕士研究生资格；含2年法语培训）</w:t>
      </w:r>
    </w:p>
    <w:p>
      <w:pPr>
        <w:adjustRightInd w:val="0"/>
        <w:snapToGrid w:val="0"/>
        <w:spacing w:line="360" w:lineRule="auto"/>
        <w:ind w:left="420"/>
        <w:rPr>
          <w:rFonts w:ascii="宋体" w:hAnsi="宋体" w:eastAsia="宋体" w:cs="宋体"/>
          <w:szCs w:val="21"/>
        </w:rPr>
      </w:pPr>
      <w:r>
        <w:rPr>
          <w:rFonts w:hint="eastAsia" w:ascii="宋体" w:hAnsi="宋体" w:eastAsia="宋体" w:cs="宋体"/>
          <w:b/>
          <w:szCs w:val="21"/>
        </w:rPr>
        <w:t>1.5</w:t>
      </w:r>
      <w:r>
        <w:rPr>
          <w:rFonts w:hint="eastAsia" w:ascii="宋体" w:hAnsi="宋体" w:eastAsia="宋体" w:cs="宋体"/>
          <w:szCs w:val="21"/>
        </w:rPr>
        <w:t>年在法国合作院校学习</w:t>
      </w:r>
    </w:p>
    <w:p>
      <w:pPr>
        <w:adjustRightInd w:val="0"/>
        <w:snapToGrid w:val="0"/>
        <w:spacing w:line="360" w:lineRule="auto"/>
        <w:ind w:left="420"/>
        <w:rPr>
          <w:rFonts w:ascii="宋体" w:hAnsi="宋体" w:eastAsia="宋体" w:cs="宋体"/>
          <w:szCs w:val="21"/>
        </w:rPr>
      </w:pPr>
      <w:r>
        <w:rPr>
          <w:rFonts w:hint="eastAsia" w:ascii="宋体" w:hAnsi="宋体" w:eastAsia="宋体" w:cs="宋体"/>
          <w:b/>
          <w:szCs w:val="21"/>
        </w:rPr>
        <w:t>0.5</w:t>
      </w:r>
      <w:r>
        <w:rPr>
          <w:rFonts w:hint="eastAsia" w:ascii="宋体" w:hAnsi="宋体" w:eastAsia="宋体" w:cs="宋体"/>
          <w:szCs w:val="21"/>
        </w:rPr>
        <w:t>年在法国、中国或第三国实习（参照协议所确定年限及其他书面约定执行）</w:t>
      </w:r>
    </w:p>
    <w:p>
      <w:pPr>
        <w:numPr>
          <w:ilvl w:val="0"/>
          <w:numId w:val="2"/>
        </w:numPr>
        <w:adjustRightInd w:val="0"/>
        <w:snapToGrid w:val="0"/>
        <w:spacing w:line="360" w:lineRule="auto"/>
        <w:rPr>
          <w:rFonts w:ascii="宋体" w:hAnsi="宋体" w:eastAsia="宋体" w:cs="宋体"/>
          <w:szCs w:val="21"/>
        </w:rPr>
      </w:pPr>
      <w:r>
        <w:rPr>
          <w:rFonts w:hint="eastAsia" w:ascii="宋体" w:hAnsi="宋体" w:eastAsia="宋体" w:cs="宋体"/>
          <w:szCs w:val="21"/>
        </w:rPr>
        <w:t>论文环节在同济大学或在法国合作院校完成，须由相关院系及导师同意并与学生确认</w:t>
      </w:r>
    </w:p>
    <w:p>
      <w:pPr>
        <w:numPr>
          <w:ilvl w:val="0"/>
          <w:numId w:val="2"/>
        </w:numPr>
        <w:adjustRightInd w:val="0"/>
        <w:snapToGrid w:val="0"/>
        <w:spacing w:line="360" w:lineRule="auto"/>
        <w:rPr>
          <w:rFonts w:ascii="宋体" w:hAnsi="宋体" w:eastAsia="宋体" w:cs="宋体"/>
          <w:szCs w:val="21"/>
        </w:rPr>
      </w:pPr>
      <w:r>
        <w:rPr>
          <w:rFonts w:hint="eastAsia" w:ascii="宋体" w:hAnsi="宋体" w:eastAsia="宋体" w:cs="宋体"/>
          <w:szCs w:val="21"/>
        </w:rPr>
        <w:t>符合法国合作学校相关规定后可获得工程师文凭；学生必须满足同济大学硕士研究生培养的相关规定，方可获得同济大学硕士研究生毕业证书和学位证书；中法两国的文凭将在完成中法两地学业后同时颁发</w:t>
      </w:r>
    </w:p>
    <w:p>
      <w:pPr>
        <w:numPr>
          <w:ilvl w:val="0"/>
          <w:numId w:val="2"/>
        </w:numPr>
        <w:adjustRightInd w:val="0"/>
        <w:snapToGrid w:val="0"/>
        <w:spacing w:line="360" w:lineRule="auto"/>
        <w:rPr>
          <w:rFonts w:ascii="宋体" w:hAnsi="宋体" w:eastAsia="宋体" w:cs="宋体"/>
          <w:szCs w:val="21"/>
        </w:rPr>
      </w:pPr>
      <w:r>
        <w:rPr>
          <w:rFonts w:hint="eastAsia" w:ascii="宋体" w:hAnsi="宋体" w:eastAsia="宋体" w:cs="宋体"/>
          <w:b/>
          <w:szCs w:val="21"/>
        </w:rPr>
        <w:t>特殊说明：</w:t>
      </w:r>
      <w:r>
        <w:rPr>
          <w:rFonts w:hint="eastAsia" w:ascii="宋体" w:hAnsi="宋体" w:eastAsia="宋体" w:cs="宋体"/>
          <w:szCs w:val="21"/>
        </w:rPr>
        <w:t>中文撰写硕士论文并附法语或英语摘要，以满足同济大学的相关要求；根据法国合作院校的要求，可能另需英语或法语撰写论文；原则上由中法联合组织论文答辩。</w:t>
      </w:r>
    </w:p>
    <w:p>
      <w:pPr>
        <w:adjustRightInd w:val="0"/>
        <w:snapToGrid w:val="0"/>
        <w:spacing w:line="360" w:lineRule="auto"/>
        <w:rPr>
          <w:rFonts w:ascii="宋体" w:hAnsi="宋体" w:eastAsia="宋体" w:cs="宋体"/>
          <w:sz w:val="18"/>
          <w:szCs w:val="18"/>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招生要求</w:t>
      </w:r>
    </w:p>
    <w:p>
      <w:pPr>
        <w:numPr>
          <w:ilvl w:val="0"/>
          <w:numId w:val="3"/>
        </w:numPr>
        <w:adjustRightInd w:val="0"/>
        <w:snapToGrid w:val="0"/>
        <w:spacing w:line="360" w:lineRule="auto"/>
        <w:rPr>
          <w:rFonts w:ascii="宋体" w:hAnsi="宋体" w:eastAsia="宋体" w:cs="宋体"/>
          <w:szCs w:val="21"/>
        </w:rPr>
      </w:pPr>
      <w:r>
        <w:rPr>
          <w:rFonts w:hint="eastAsia" w:ascii="宋体" w:hAnsi="宋体" w:eastAsia="宋体" w:cs="宋体"/>
          <w:szCs w:val="21"/>
        </w:rPr>
        <w:t>大三在读学生</w:t>
      </w:r>
    </w:p>
    <w:p>
      <w:pPr>
        <w:numPr>
          <w:ilvl w:val="0"/>
          <w:numId w:val="3"/>
        </w:numPr>
        <w:adjustRightInd w:val="0"/>
        <w:snapToGrid w:val="0"/>
        <w:spacing w:line="360" w:lineRule="auto"/>
        <w:rPr>
          <w:rFonts w:ascii="宋体" w:hAnsi="宋体" w:eastAsia="宋体" w:cs="宋体"/>
          <w:szCs w:val="21"/>
        </w:rPr>
      </w:pPr>
      <w:r>
        <w:rPr>
          <w:rFonts w:hint="eastAsia" w:ascii="宋体" w:hAnsi="宋体" w:eastAsia="宋体" w:cs="宋体"/>
          <w:szCs w:val="21"/>
        </w:rPr>
        <w:t>具有扎实的数学基础、专业课成绩优异；有望保研者优先</w:t>
      </w:r>
      <w:r>
        <w:rPr>
          <w:rFonts w:hint="eastAsia" w:ascii="宋体" w:hAnsi="宋体" w:eastAsia="宋体" w:cs="宋体"/>
          <w:b/>
          <w:szCs w:val="21"/>
        </w:rPr>
        <w:t>（注意：学生必须在自行获得同济大学硕士研究生资格，本硕阶段学习须在同一院系）</w:t>
      </w:r>
    </w:p>
    <w:p>
      <w:pPr>
        <w:numPr>
          <w:ilvl w:val="0"/>
          <w:numId w:val="3"/>
        </w:numPr>
        <w:adjustRightInd w:val="0"/>
        <w:snapToGrid w:val="0"/>
        <w:spacing w:line="360" w:lineRule="auto"/>
        <w:rPr>
          <w:rFonts w:ascii="宋体" w:hAnsi="宋体" w:eastAsia="宋体" w:cs="宋体"/>
          <w:szCs w:val="21"/>
        </w:rPr>
      </w:pPr>
      <w:r>
        <w:rPr>
          <w:rFonts w:hint="eastAsia" w:ascii="宋体" w:hAnsi="宋体" w:eastAsia="宋体" w:cs="宋体"/>
          <w:szCs w:val="21"/>
        </w:rPr>
        <w:t>英语听说读写佳；大学英语六级（CET6）考试达460分以上；持有其他英语水平等级证书优先</w:t>
      </w:r>
      <w:r>
        <w:rPr>
          <w:rFonts w:hint="eastAsia" w:ascii="宋体" w:hAnsi="宋体" w:eastAsia="宋体" w:cs="宋体"/>
          <w:b/>
          <w:szCs w:val="21"/>
        </w:rPr>
        <w:t>（注意：部分合作高校对录取后赴法学习前的英语水平可能有特殊要求）</w:t>
      </w:r>
    </w:p>
    <w:p>
      <w:pPr>
        <w:adjustRightInd w:val="0"/>
        <w:snapToGrid w:val="0"/>
        <w:spacing w:line="360" w:lineRule="auto"/>
        <w:rPr>
          <w:rFonts w:ascii="宋体" w:hAnsi="宋体" w:eastAsia="宋体" w:cs="宋体"/>
          <w:sz w:val="18"/>
          <w:szCs w:val="18"/>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费用</w:t>
      </w:r>
    </w:p>
    <w:p>
      <w:pPr>
        <w:numPr>
          <w:ilvl w:val="0"/>
          <w:numId w:val="3"/>
        </w:numPr>
        <w:adjustRightInd w:val="0"/>
        <w:snapToGrid w:val="0"/>
        <w:spacing w:line="360" w:lineRule="auto"/>
        <w:ind w:left="357" w:hanging="357"/>
        <w:rPr>
          <w:rFonts w:ascii="宋体" w:hAnsi="宋体" w:eastAsia="宋体" w:cs="宋体"/>
          <w:szCs w:val="21"/>
        </w:rPr>
      </w:pPr>
      <w:r>
        <w:rPr>
          <w:rFonts w:hint="eastAsia" w:ascii="宋体" w:hAnsi="宋体" w:eastAsia="宋体" w:cs="宋体"/>
          <w:szCs w:val="21"/>
        </w:rPr>
        <w:t>留学法国期间学生主要需承担以下费用</w:t>
      </w:r>
    </w:p>
    <w:p>
      <w:pPr>
        <w:numPr>
          <w:ilvl w:val="0"/>
          <w:numId w:val="4"/>
        </w:numPr>
        <w:adjustRightInd w:val="0"/>
        <w:snapToGrid w:val="0"/>
        <w:spacing w:line="360" w:lineRule="auto"/>
        <w:rPr>
          <w:rFonts w:ascii="宋体" w:hAnsi="宋体" w:eastAsia="宋体" w:cs="宋体"/>
          <w:szCs w:val="21"/>
        </w:rPr>
      </w:pPr>
      <w:r>
        <w:rPr>
          <w:rFonts w:hint="eastAsia" w:ascii="宋体" w:hAnsi="宋体" w:eastAsia="宋体" w:cs="宋体"/>
          <w:szCs w:val="21"/>
        </w:rPr>
        <w:t>正常缴纳同济大学学费</w:t>
      </w:r>
    </w:p>
    <w:p>
      <w:pPr>
        <w:numPr>
          <w:ilvl w:val="0"/>
          <w:numId w:val="4"/>
        </w:numPr>
        <w:adjustRightInd w:val="0"/>
        <w:snapToGrid w:val="0"/>
        <w:spacing w:line="360" w:lineRule="auto"/>
        <w:rPr>
          <w:rFonts w:ascii="宋体" w:hAnsi="宋体" w:eastAsia="宋体" w:cs="宋体"/>
          <w:szCs w:val="21"/>
        </w:rPr>
      </w:pPr>
      <w:r>
        <w:rPr>
          <w:rFonts w:hint="eastAsia" w:ascii="宋体" w:hAnsi="宋体" w:eastAsia="宋体" w:cs="宋体"/>
          <w:szCs w:val="21"/>
        </w:rPr>
        <w:t>法国高校学费：</w:t>
      </w:r>
    </w:p>
    <w:p>
      <w:pPr>
        <w:adjustRightInd w:val="0"/>
        <w:snapToGrid w:val="0"/>
        <w:spacing w:line="360" w:lineRule="auto"/>
        <w:ind w:left="649"/>
        <w:rPr>
          <w:rFonts w:ascii="宋体" w:hAnsi="宋体" w:eastAsia="宋体" w:cs="宋体"/>
          <w:kern w:val="0"/>
          <w:sz w:val="20"/>
        </w:rPr>
      </w:pPr>
      <w:r>
        <w:rPr>
          <w:rFonts w:hint="eastAsia" w:ascii="宋体" w:hAnsi="宋体" w:eastAsia="宋体" w:cs="宋体"/>
          <w:kern w:val="0"/>
          <w:sz w:val="20"/>
        </w:rPr>
        <w:t>-</w:t>
      </w:r>
      <w:r>
        <w:rPr>
          <w:rFonts w:ascii="宋体" w:hAnsi="宋体" w:eastAsia="宋体" w:cs="宋体"/>
          <w:kern w:val="0"/>
          <w:sz w:val="20"/>
        </w:rPr>
        <w:t>-</w:t>
      </w:r>
      <w:r>
        <w:rPr>
          <w:rFonts w:hint="eastAsia" w:ascii="宋体" w:hAnsi="宋体" w:eastAsia="宋体" w:cs="宋体"/>
          <w:kern w:val="0"/>
          <w:sz w:val="20"/>
        </w:rPr>
        <w:t>巴黎高科-国立桥路学校（ENPC）：学费4220欧/学年，共2年</w:t>
      </w:r>
    </w:p>
    <w:p>
      <w:pPr>
        <w:adjustRightInd w:val="0"/>
        <w:snapToGrid w:val="0"/>
        <w:spacing w:line="360" w:lineRule="auto"/>
        <w:ind w:left="649"/>
        <w:rPr>
          <w:rFonts w:hint="eastAsia" w:ascii="宋体" w:hAnsi="宋体" w:eastAsia="宋体" w:cs="宋体"/>
          <w:kern w:val="0"/>
          <w:sz w:val="20"/>
        </w:rPr>
      </w:pPr>
      <w:r>
        <w:rPr>
          <w:rFonts w:hint="eastAsia" w:ascii="宋体" w:hAnsi="宋体" w:eastAsia="宋体" w:cs="宋体"/>
          <w:kern w:val="0"/>
          <w:sz w:val="20"/>
        </w:rPr>
        <w:t>--国立公共工程学校（ENTPE）</w:t>
      </w:r>
      <w:r>
        <w:rPr>
          <w:rFonts w:hint="eastAsia" w:ascii="宋体" w:hAnsi="宋体" w:eastAsia="宋体" w:cs="宋体"/>
          <w:kern w:val="0"/>
          <w:sz w:val="20"/>
        </w:rPr>
        <w:t>目前不收取学费，仅收注册费（约600欧元/年）</w:t>
      </w:r>
    </w:p>
    <w:p>
      <w:pPr>
        <w:adjustRightInd w:val="0"/>
        <w:snapToGrid w:val="0"/>
        <w:spacing w:line="360" w:lineRule="auto"/>
        <w:ind w:left="649"/>
        <w:rPr>
          <w:rFonts w:hint="eastAsia" w:ascii="宋体" w:hAnsi="宋体" w:eastAsia="宋体" w:cs="宋体"/>
          <w:kern w:val="0"/>
          <w:sz w:val="20"/>
        </w:rPr>
      </w:pPr>
      <w:r>
        <w:rPr>
          <w:rFonts w:hint="eastAsia" w:ascii="宋体" w:hAnsi="宋体" w:eastAsia="宋体" w:cs="宋体"/>
          <w:kern w:val="0"/>
          <w:sz w:val="20"/>
        </w:rPr>
        <w:t>--高等公共工程学校(ESTP)</w:t>
      </w:r>
      <w:r>
        <w:rPr>
          <w:rFonts w:hint="eastAsia" w:ascii="宋体" w:hAnsi="宋体" w:eastAsia="宋体" w:cs="宋体"/>
          <w:kern w:val="0"/>
          <w:sz w:val="20"/>
        </w:rPr>
        <w:t xml:space="preserve"> 目前不收取学费，仅收注册费（约600欧元/年）</w:t>
      </w:r>
    </w:p>
    <w:p>
      <w:pPr>
        <w:adjustRightInd w:val="0"/>
        <w:snapToGrid w:val="0"/>
        <w:spacing w:line="360" w:lineRule="auto"/>
        <w:ind w:leftChars="-34" w:hanging="71" w:hangingChars="34"/>
        <w:rPr>
          <w:rFonts w:ascii="宋体" w:hAnsi="宋体" w:eastAsia="宋体" w:cs="宋体"/>
          <w:szCs w:val="21"/>
        </w:rPr>
      </w:pPr>
      <w:r>
        <w:rPr>
          <w:rFonts w:hint="eastAsia" w:ascii="宋体" w:hAnsi="宋体" w:eastAsia="宋体" w:cs="宋体"/>
          <w:szCs w:val="21"/>
        </w:rPr>
        <w:t>（4）  根据学生所就读的城市不同，生活费用不高于700欧元/月；学生在法期间享受法国</w:t>
      </w:r>
      <w:r>
        <w:rPr>
          <w:rFonts w:hint="eastAsia" w:ascii="宋体" w:hAnsi="宋体" w:eastAsia="宋体" w:cs="宋体"/>
          <w:szCs w:val="21"/>
        </w:rPr>
        <w:tab/>
      </w:r>
      <w:r>
        <w:rPr>
          <w:rFonts w:hint="eastAsia" w:ascii="宋体" w:hAnsi="宋体" w:eastAsia="宋体" w:cs="宋体"/>
          <w:szCs w:val="21"/>
        </w:rPr>
        <w:t xml:space="preserve">   政府房屋补贴</w:t>
      </w:r>
    </w:p>
    <w:p>
      <w:pPr>
        <w:adjustRightInd w:val="0"/>
        <w:snapToGrid w:val="0"/>
        <w:spacing w:line="360" w:lineRule="auto"/>
        <w:ind w:left="357"/>
        <w:rPr>
          <w:rFonts w:ascii="宋体" w:hAnsi="宋体" w:eastAsia="宋体" w:cs="宋体"/>
          <w:b/>
          <w:bCs/>
          <w:sz w:val="18"/>
          <w:szCs w:val="18"/>
          <w:u w:val="single"/>
        </w:rPr>
      </w:pPr>
      <w:r>
        <w:rPr>
          <w:rFonts w:hint="eastAsia" w:ascii="宋体" w:hAnsi="宋体" w:eastAsia="宋体" w:cs="宋体"/>
          <w:b/>
          <w:bCs/>
          <w:sz w:val="18"/>
          <w:szCs w:val="18"/>
          <w:u w:val="single"/>
        </w:rPr>
        <w:t>*上述费用以法国高校最终录取通知书告知为准</w:t>
      </w:r>
    </w:p>
    <w:p>
      <w:pPr>
        <w:adjustRightInd w:val="0"/>
        <w:snapToGrid w:val="0"/>
        <w:spacing w:line="360" w:lineRule="auto"/>
        <w:ind w:left="357"/>
        <w:rPr>
          <w:rFonts w:ascii="宋体" w:hAnsi="宋体" w:eastAsia="宋体" w:cs="宋体"/>
          <w:b/>
          <w:bCs/>
          <w:sz w:val="18"/>
          <w:szCs w:val="18"/>
          <w:u w:val="single"/>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法语要求</w:t>
      </w:r>
    </w:p>
    <w:p>
      <w:pPr>
        <w:numPr>
          <w:ilvl w:val="0"/>
          <w:numId w:val="3"/>
        </w:numPr>
        <w:adjustRightInd w:val="0"/>
        <w:snapToGrid w:val="0"/>
        <w:spacing w:line="360" w:lineRule="auto"/>
        <w:ind w:left="357" w:hanging="357"/>
        <w:rPr>
          <w:rFonts w:ascii="宋体" w:hAnsi="宋体" w:eastAsia="宋体" w:cs="宋体"/>
          <w:szCs w:val="21"/>
        </w:rPr>
      </w:pPr>
      <w:r>
        <w:rPr>
          <w:rFonts w:hint="eastAsia" w:ascii="宋体" w:hAnsi="宋体" w:eastAsia="宋体" w:cs="宋体"/>
          <w:szCs w:val="21"/>
        </w:rPr>
        <w:t>招生阶段对学生法语能力不作要求，已有法语基础可作一定参考</w:t>
      </w:r>
    </w:p>
    <w:p>
      <w:pPr>
        <w:numPr>
          <w:ilvl w:val="0"/>
          <w:numId w:val="3"/>
        </w:numPr>
        <w:adjustRightInd w:val="0"/>
        <w:snapToGrid w:val="0"/>
        <w:spacing w:line="360" w:lineRule="auto"/>
        <w:ind w:left="357" w:hanging="357"/>
        <w:rPr>
          <w:rFonts w:ascii="宋体" w:hAnsi="宋体" w:eastAsia="宋体" w:cs="宋体"/>
          <w:szCs w:val="21"/>
        </w:rPr>
      </w:pPr>
      <w:r>
        <w:rPr>
          <w:rFonts w:hint="eastAsia" w:ascii="宋体" w:hAnsi="宋体" w:eastAsia="宋体" w:cs="宋体"/>
          <w:szCs w:val="21"/>
        </w:rPr>
        <w:t>通过校内联合预面试的学生建议预录取后自行学习法语</w:t>
      </w:r>
    </w:p>
    <w:p>
      <w:pPr>
        <w:numPr>
          <w:ilvl w:val="0"/>
          <w:numId w:val="3"/>
        </w:numPr>
        <w:adjustRightInd w:val="0"/>
        <w:snapToGrid w:val="0"/>
        <w:spacing w:line="360" w:lineRule="auto"/>
        <w:ind w:left="357" w:hanging="357"/>
        <w:rPr>
          <w:rFonts w:ascii="宋体" w:hAnsi="宋体" w:eastAsia="宋体" w:cs="宋体"/>
          <w:szCs w:val="21"/>
        </w:rPr>
      </w:pPr>
      <w:r>
        <w:rPr>
          <w:rFonts w:hint="eastAsia" w:ascii="宋体" w:hAnsi="宋体" w:eastAsia="宋体" w:cs="宋体"/>
          <w:kern w:val="0"/>
          <w:szCs w:val="21"/>
        </w:rPr>
        <w:t>学生在留法学习前应达到与合作院校签署协议所要求的法语水平（一般要求达到B2水平）</w:t>
      </w:r>
    </w:p>
    <w:p>
      <w:pPr>
        <w:numPr>
          <w:ilvl w:val="0"/>
          <w:numId w:val="3"/>
        </w:numPr>
        <w:adjustRightInd w:val="0"/>
        <w:snapToGrid w:val="0"/>
        <w:spacing w:line="360" w:lineRule="auto"/>
        <w:ind w:left="357" w:hanging="357"/>
        <w:rPr>
          <w:rFonts w:ascii="宋体" w:hAnsi="宋体" w:eastAsia="宋体" w:cs="宋体"/>
          <w:szCs w:val="21"/>
        </w:rPr>
      </w:pPr>
      <w:r>
        <w:rPr>
          <w:rFonts w:hint="eastAsia" w:ascii="宋体" w:hAnsi="宋体" w:eastAsia="宋体" w:cs="宋体"/>
          <w:szCs w:val="21"/>
        </w:rPr>
        <w:t>学生在学习法语期间必须每学期定期参加中法学院组织的法语口试和笔试</w:t>
      </w:r>
    </w:p>
    <w:p>
      <w:pPr>
        <w:numPr>
          <w:ilvl w:val="0"/>
          <w:numId w:val="3"/>
        </w:numPr>
        <w:adjustRightInd w:val="0"/>
        <w:snapToGrid w:val="0"/>
        <w:spacing w:line="360" w:lineRule="auto"/>
        <w:ind w:left="357" w:hanging="357"/>
        <w:rPr>
          <w:rFonts w:ascii="宋体" w:hAnsi="宋体" w:eastAsia="宋体" w:cs="宋体"/>
          <w:szCs w:val="21"/>
        </w:rPr>
      </w:pPr>
      <w:r>
        <w:rPr>
          <w:rFonts w:hint="eastAsia" w:ascii="宋体" w:hAnsi="宋体" w:eastAsia="宋体" w:cs="宋体"/>
          <w:szCs w:val="21"/>
        </w:rPr>
        <w:t>被法国巴黎电信(Telecom ParisTech)英语项目录取的学生建议法语水平至少最好达到至少A2水平</w:t>
      </w:r>
    </w:p>
    <w:p>
      <w:pPr>
        <w:adjustRightInd w:val="0"/>
        <w:snapToGrid w:val="0"/>
        <w:spacing w:line="360" w:lineRule="auto"/>
        <w:rPr>
          <w:rFonts w:ascii="宋体" w:hAnsi="宋体" w:eastAsia="宋体" w:cs="宋体"/>
          <w:sz w:val="18"/>
          <w:szCs w:val="18"/>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奖学金</w:t>
      </w:r>
    </w:p>
    <w:p>
      <w:pPr>
        <w:numPr>
          <w:ilvl w:val="0"/>
          <w:numId w:val="3"/>
        </w:numPr>
        <w:adjustRightInd w:val="0"/>
        <w:snapToGrid w:val="0"/>
        <w:spacing w:line="360" w:lineRule="auto"/>
        <w:ind w:hanging="357"/>
        <w:rPr>
          <w:rFonts w:ascii="宋体" w:hAnsi="宋体" w:eastAsia="宋体" w:cs="宋体"/>
          <w:szCs w:val="21"/>
        </w:rPr>
      </w:pPr>
      <w:r>
        <w:rPr>
          <w:rFonts w:hint="eastAsia" w:ascii="宋体" w:hAnsi="宋体" w:eastAsia="宋体" w:cs="宋体"/>
          <w:szCs w:val="21"/>
        </w:rPr>
        <w:t>历年学生奖学金类型：中国国家留学基金委奖</w:t>
      </w:r>
      <w:r>
        <w:rPr>
          <w:rFonts w:hint="eastAsia" w:ascii="宋体" w:hAnsi="宋体" w:eastAsia="宋体" w:cs="宋体"/>
          <w:b/>
          <w:szCs w:val="21"/>
        </w:rPr>
        <w:t>（仅针对被巴黎高科录取的学生）；</w:t>
      </w:r>
      <w:r>
        <w:rPr>
          <w:rFonts w:hint="eastAsia" w:ascii="宋体" w:hAnsi="宋体" w:eastAsia="宋体" w:cs="宋体"/>
          <w:szCs w:val="21"/>
        </w:rPr>
        <w:t>法国政府艾菲尔奖、法国地方政府奖学金、法国企业奖学金、合作院校内部各类奖学金等。</w:t>
      </w:r>
    </w:p>
    <w:p>
      <w:pPr>
        <w:adjustRightInd w:val="0"/>
        <w:snapToGrid w:val="0"/>
        <w:spacing w:line="360" w:lineRule="auto"/>
        <w:ind w:left="3"/>
        <w:rPr>
          <w:rFonts w:ascii="宋体" w:hAnsi="宋体" w:eastAsia="宋体" w:cs="宋体"/>
          <w:sz w:val="18"/>
          <w:szCs w:val="18"/>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 xml:space="preserve">招生流程 </w:t>
      </w:r>
    </w:p>
    <w:p>
      <w:pPr>
        <w:spacing w:line="360" w:lineRule="auto"/>
        <w:ind w:left="1400" w:hanging="1400"/>
        <w:rPr>
          <w:rFonts w:ascii="宋体" w:hAnsi="宋体" w:eastAsia="宋体" w:cs="宋体"/>
          <w:kern w:val="0"/>
          <w:sz w:val="20"/>
          <w:szCs w:val="18"/>
        </w:rPr>
      </w:pPr>
      <w:r>
        <w:rPr>
          <w:rFonts w:hint="eastAsia" w:ascii="宋体" w:hAnsi="宋体" w:eastAsia="宋体" w:cs="宋体"/>
          <w:kern w:val="0"/>
          <w:sz w:val="20"/>
          <w:szCs w:val="18"/>
        </w:rPr>
        <w:t xml:space="preserve"> 5月18日  </w:t>
      </w:r>
      <w:r>
        <w:rPr>
          <w:rFonts w:hint="eastAsia" w:ascii="宋体" w:hAnsi="宋体" w:eastAsia="宋体" w:cs="宋体"/>
          <w:kern w:val="0"/>
          <w:sz w:val="20"/>
          <w:szCs w:val="18"/>
        </w:rPr>
        <w:tab/>
      </w:r>
      <w:r>
        <w:rPr>
          <w:rFonts w:hint="eastAsia" w:ascii="宋体" w:hAnsi="宋体" w:eastAsia="宋体" w:cs="宋体"/>
          <w:kern w:val="0"/>
          <w:sz w:val="20"/>
          <w:szCs w:val="18"/>
        </w:rPr>
        <w:t xml:space="preserve">  学生提交申请材料（材料清单见本页）给所在院系联络教师</w:t>
      </w:r>
    </w:p>
    <w:p>
      <w:pPr>
        <w:adjustRightInd w:val="0"/>
        <w:snapToGrid w:val="0"/>
        <w:spacing w:line="360" w:lineRule="auto"/>
        <w:jc w:val="left"/>
        <w:rPr>
          <w:rFonts w:ascii="宋体" w:hAnsi="宋体" w:eastAsia="宋体" w:cs="宋体"/>
          <w:b/>
          <w:sz w:val="18"/>
          <w:szCs w:val="18"/>
          <w:u w:val="single"/>
        </w:rPr>
      </w:pPr>
      <w:r>
        <w:rPr>
          <w:rFonts w:hint="eastAsia" w:ascii="宋体" w:hAnsi="宋体" w:eastAsia="宋体" w:cs="宋体"/>
          <w:b/>
          <w:sz w:val="18"/>
          <w:szCs w:val="18"/>
          <w:u w:val="single"/>
        </w:rPr>
        <w:t>交通运输工程学院联络教师：万小华    电话：69589487   电子邮件：wanxiaohua0309@163.com</w:t>
      </w:r>
    </w:p>
    <w:p>
      <w:pPr>
        <w:spacing w:line="360" w:lineRule="auto"/>
        <w:rPr>
          <w:rFonts w:ascii="宋体" w:hAnsi="宋体" w:eastAsia="宋体" w:cs="宋体"/>
          <w:kern w:val="0"/>
          <w:sz w:val="20"/>
          <w:szCs w:val="18"/>
        </w:rPr>
      </w:pPr>
      <w:r>
        <w:rPr>
          <w:rFonts w:hint="eastAsia" w:ascii="宋体" w:hAnsi="宋体" w:eastAsia="宋体" w:cs="宋体"/>
          <w:kern w:val="0"/>
          <w:sz w:val="20"/>
          <w:szCs w:val="18"/>
        </w:rPr>
        <w:t xml:space="preserve"> 5月24日  </w:t>
      </w:r>
      <w:r>
        <w:rPr>
          <w:rFonts w:hint="eastAsia" w:ascii="宋体" w:hAnsi="宋体" w:eastAsia="宋体" w:cs="宋体"/>
          <w:kern w:val="0"/>
          <w:sz w:val="20"/>
          <w:szCs w:val="18"/>
        </w:rPr>
        <w:tab/>
      </w:r>
      <w:r>
        <w:rPr>
          <w:rFonts w:hint="eastAsia" w:ascii="宋体" w:hAnsi="宋体" w:eastAsia="宋体" w:cs="宋体"/>
          <w:kern w:val="0"/>
          <w:sz w:val="20"/>
          <w:szCs w:val="18"/>
        </w:rPr>
        <w:t xml:space="preserve">   院系将学生信息汇总表及申请材料交（电子版PDF格式）中法学院胡老师（四平路校区中法中心A204）</w:t>
      </w:r>
    </w:p>
    <w:p>
      <w:pPr>
        <w:spacing w:line="360" w:lineRule="auto"/>
        <w:rPr>
          <w:rFonts w:ascii="宋体" w:hAnsi="宋体" w:eastAsia="宋体" w:cs="宋体"/>
          <w:kern w:val="0"/>
          <w:sz w:val="20"/>
          <w:szCs w:val="18"/>
        </w:rPr>
      </w:pPr>
      <w:r>
        <w:rPr>
          <w:rFonts w:hint="eastAsia" w:ascii="宋体" w:hAnsi="宋体" w:eastAsia="宋体" w:cs="宋体"/>
          <w:kern w:val="0"/>
          <w:sz w:val="20"/>
          <w:szCs w:val="18"/>
        </w:rPr>
        <w:t xml:space="preserve"> 6月3日</w:t>
      </w:r>
      <w:r>
        <w:rPr>
          <w:rFonts w:hint="eastAsia" w:ascii="宋体" w:hAnsi="宋体" w:eastAsia="宋体" w:cs="宋体"/>
          <w:kern w:val="0"/>
          <w:sz w:val="20"/>
          <w:szCs w:val="18"/>
        </w:rPr>
        <w:tab/>
      </w:r>
      <w:r>
        <w:rPr>
          <w:rFonts w:hint="eastAsia" w:ascii="宋体" w:hAnsi="宋体" w:eastAsia="宋体" w:cs="宋体"/>
          <w:kern w:val="0"/>
          <w:sz w:val="20"/>
          <w:szCs w:val="18"/>
        </w:rPr>
        <w:t xml:space="preserve">   校内联合预面试（四平路校区、嘉定校区同时举行）</w:t>
      </w:r>
    </w:p>
    <w:p>
      <w:pPr>
        <w:spacing w:line="360" w:lineRule="auto"/>
        <w:rPr>
          <w:rFonts w:ascii="宋体" w:hAnsi="宋体" w:eastAsia="宋体" w:cs="宋体"/>
          <w:sz w:val="20"/>
          <w:szCs w:val="18"/>
        </w:rPr>
      </w:pPr>
      <w:r>
        <w:rPr>
          <w:rFonts w:hint="eastAsia" w:ascii="宋体" w:hAnsi="宋体" w:eastAsia="宋体" w:cs="宋体"/>
          <w:kern w:val="0"/>
          <w:sz w:val="20"/>
          <w:szCs w:val="18"/>
        </w:rPr>
        <w:t xml:space="preserve"> 6月10日</w:t>
      </w:r>
      <w:r>
        <w:rPr>
          <w:rFonts w:hint="eastAsia" w:ascii="宋体" w:hAnsi="宋体" w:eastAsia="宋体" w:cs="宋体"/>
          <w:kern w:val="0"/>
          <w:sz w:val="20"/>
          <w:szCs w:val="18"/>
        </w:rPr>
        <w:tab/>
      </w:r>
      <w:r>
        <w:rPr>
          <w:rFonts w:hint="eastAsia" w:ascii="宋体" w:hAnsi="宋体" w:eastAsia="宋体" w:cs="宋体"/>
          <w:kern w:val="0"/>
          <w:sz w:val="20"/>
          <w:szCs w:val="18"/>
        </w:rPr>
        <w:t xml:space="preserve">   中法学院入学说明会（四平路校区、嘉定校区同时进行）</w:t>
      </w:r>
    </w:p>
    <w:p>
      <w:pPr>
        <w:spacing w:line="360" w:lineRule="auto"/>
        <w:ind w:left="1600" w:hanging="1600" w:hangingChars="800"/>
        <w:rPr>
          <w:rFonts w:ascii="宋体" w:hAnsi="宋体" w:eastAsia="宋体" w:cs="宋体"/>
          <w:kern w:val="0"/>
          <w:sz w:val="20"/>
          <w:szCs w:val="18"/>
        </w:rPr>
      </w:pPr>
      <w:r>
        <w:rPr>
          <w:rFonts w:hint="eastAsia" w:ascii="宋体" w:hAnsi="宋体" w:eastAsia="宋体" w:cs="宋体"/>
          <w:kern w:val="0"/>
          <w:sz w:val="20"/>
          <w:szCs w:val="18"/>
        </w:rPr>
        <w:t xml:space="preserve"> 6月14日起</w:t>
      </w:r>
      <w:r>
        <w:rPr>
          <w:rFonts w:hint="eastAsia" w:ascii="宋体" w:hAnsi="宋体" w:eastAsia="宋体" w:cs="宋体"/>
          <w:kern w:val="0"/>
          <w:sz w:val="20"/>
          <w:szCs w:val="18"/>
        </w:rPr>
        <w:tab/>
      </w:r>
      <w:r>
        <w:rPr>
          <w:rFonts w:hint="eastAsia" w:ascii="宋体" w:hAnsi="宋体" w:eastAsia="宋体" w:cs="宋体"/>
          <w:kern w:val="0"/>
          <w:sz w:val="20"/>
          <w:szCs w:val="18"/>
        </w:rPr>
        <w:t>相关法国院校面试：</w:t>
      </w:r>
    </w:p>
    <w:p>
      <w:pPr>
        <w:spacing w:line="360" w:lineRule="auto"/>
        <w:rPr>
          <w:rFonts w:ascii="宋体" w:hAnsi="宋体" w:eastAsia="宋体" w:cs="宋体"/>
          <w:kern w:val="0"/>
          <w:sz w:val="20"/>
          <w:szCs w:val="18"/>
        </w:rPr>
      </w:pPr>
      <w:r>
        <w:rPr>
          <w:rFonts w:hint="eastAsia" w:ascii="宋体" w:hAnsi="宋体" w:eastAsia="宋体" w:cs="宋体"/>
          <w:kern w:val="0"/>
          <w:sz w:val="20"/>
          <w:szCs w:val="18"/>
        </w:rPr>
        <w:t xml:space="preserve"> 7月上旬</w:t>
      </w:r>
      <w:r>
        <w:rPr>
          <w:rFonts w:hint="eastAsia" w:ascii="宋体" w:hAnsi="宋体" w:eastAsia="宋体" w:cs="宋体"/>
          <w:kern w:val="0"/>
          <w:sz w:val="20"/>
          <w:szCs w:val="18"/>
        </w:rPr>
        <w:tab/>
      </w:r>
      <w:r>
        <w:rPr>
          <w:rFonts w:hint="eastAsia" w:ascii="宋体" w:hAnsi="宋体" w:eastAsia="宋体" w:cs="宋体"/>
          <w:kern w:val="0"/>
          <w:sz w:val="20"/>
          <w:szCs w:val="18"/>
        </w:rPr>
        <w:t xml:space="preserve">   法国院校公布预录取结果</w:t>
      </w:r>
    </w:p>
    <w:p>
      <w:pPr>
        <w:spacing w:line="360" w:lineRule="auto"/>
        <w:rPr>
          <w:rFonts w:ascii="宋体" w:hAnsi="宋体" w:eastAsia="宋体" w:cs="宋体"/>
          <w:kern w:val="0"/>
          <w:sz w:val="20"/>
          <w:szCs w:val="18"/>
        </w:rPr>
      </w:pPr>
      <w:r>
        <w:rPr>
          <w:rFonts w:hint="eastAsia" w:ascii="宋体" w:hAnsi="宋体" w:eastAsia="宋体" w:cs="宋体"/>
          <w:kern w:val="0"/>
          <w:sz w:val="20"/>
          <w:szCs w:val="18"/>
        </w:rPr>
        <w:t>（通常面试后1-2周内获得预录取结果）</w:t>
      </w:r>
    </w:p>
    <w:p>
      <w:pPr>
        <w:adjustRightInd w:val="0"/>
        <w:snapToGrid w:val="0"/>
        <w:spacing w:line="360" w:lineRule="auto"/>
        <w:jc w:val="left"/>
        <w:rPr>
          <w:rFonts w:ascii="宋体" w:hAnsi="宋体" w:eastAsia="宋体" w:cs="宋体"/>
          <w:b/>
          <w:sz w:val="18"/>
          <w:szCs w:val="18"/>
          <w:u w:val="single"/>
        </w:rPr>
      </w:pPr>
      <w:r>
        <w:rPr>
          <w:rFonts w:hint="eastAsia" w:ascii="宋体" w:hAnsi="宋体" w:eastAsia="宋体" w:cs="宋体"/>
          <w:b/>
          <w:sz w:val="18"/>
          <w:szCs w:val="18"/>
          <w:u w:val="single"/>
        </w:rPr>
        <w:t>中法学院联系人：胡老师</w:t>
      </w:r>
      <w:r>
        <w:rPr>
          <w:rFonts w:hint="eastAsia" w:ascii="宋体" w:hAnsi="宋体" w:eastAsia="宋体" w:cs="宋体"/>
          <w:b/>
          <w:sz w:val="18"/>
          <w:szCs w:val="18"/>
          <w:u w:val="single"/>
        </w:rPr>
        <w:tab/>
      </w:r>
      <w:r>
        <w:rPr>
          <w:rFonts w:hint="eastAsia" w:ascii="宋体" w:hAnsi="宋体" w:eastAsia="宋体" w:cs="宋体"/>
          <w:b/>
          <w:sz w:val="18"/>
          <w:szCs w:val="18"/>
          <w:u w:val="single"/>
        </w:rPr>
        <w:t>电话：6598 4650</w:t>
      </w:r>
      <w:r>
        <w:rPr>
          <w:rFonts w:hint="eastAsia" w:ascii="宋体" w:hAnsi="宋体" w:eastAsia="宋体" w:cs="宋体"/>
          <w:b/>
          <w:sz w:val="18"/>
          <w:szCs w:val="18"/>
          <w:u w:val="single"/>
        </w:rPr>
        <w:tab/>
      </w:r>
      <w:r>
        <w:rPr>
          <w:rFonts w:hint="eastAsia" w:ascii="宋体" w:hAnsi="宋体" w:eastAsia="宋体" w:cs="宋体"/>
          <w:b/>
          <w:sz w:val="18"/>
          <w:szCs w:val="18"/>
          <w:u w:val="single"/>
        </w:rPr>
        <w:t xml:space="preserve">  电子邮件：</w:t>
      </w:r>
      <w:r>
        <w:fldChar w:fldCharType="begin"/>
      </w:r>
      <w:r>
        <w:instrText xml:space="preserve"> HYPERLINK "mailto:mlhu2009@tongji.edu.cn" </w:instrText>
      </w:r>
      <w:r>
        <w:fldChar w:fldCharType="separate"/>
      </w:r>
      <w:r>
        <w:rPr>
          <w:rStyle w:val="8"/>
          <w:rFonts w:hint="eastAsia" w:ascii="宋体" w:hAnsi="宋体" w:eastAsia="宋体" w:cs="宋体"/>
          <w:b/>
          <w:color w:val="auto"/>
          <w:sz w:val="18"/>
          <w:szCs w:val="18"/>
          <w:u w:val="single"/>
        </w:rPr>
        <w:t>mlhu2009@tongji.edu.cn</w:t>
      </w:r>
      <w:r>
        <w:rPr>
          <w:rStyle w:val="8"/>
          <w:rFonts w:hint="eastAsia" w:ascii="宋体" w:hAnsi="宋体" w:eastAsia="宋体" w:cs="宋体"/>
          <w:b/>
          <w:color w:val="auto"/>
          <w:sz w:val="18"/>
          <w:szCs w:val="18"/>
          <w:u w:val="single"/>
        </w:rPr>
        <w:fldChar w:fldCharType="end"/>
      </w:r>
    </w:p>
    <w:p>
      <w:pPr>
        <w:adjustRightInd w:val="0"/>
        <w:snapToGrid w:val="0"/>
        <w:spacing w:line="360" w:lineRule="auto"/>
        <w:jc w:val="left"/>
        <w:rPr>
          <w:rStyle w:val="8"/>
          <w:rFonts w:hint="default" w:ascii="宋体" w:hAnsi="宋体" w:eastAsia="宋体" w:cs="宋体"/>
          <w:b/>
          <w:color w:val="auto"/>
          <w:sz w:val="18"/>
          <w:szCs w:val="18"/>
          <w:u w:val="single"/>
          <w:lang w:val="en-US" w:eastAsia="zh-CN"/>
        </w:rPr>
      </w:pPr>
      <w:bookmarkStart w:id="0" w:name="_GoBack"/>
      <w:r>
        <w:rPr>
          <w:rFonts w:hint="eastAsia" w:ascii="宋体" w:hAnsi="宋体" w:eastAsia="宋体" w:cs="宋体"/>
          <w:b/>
          <w:sz w:val="18"/>
          <w:szCs w:val="18"/>
          <w:u w:val="single"/>
        </w:rPr>
        <w:t>*</w:t>
      </w:r>
      <w:r>
        <w:rPr>
          <w:rStyle w:val="8"/>
          <w:rFonts w:hint="eastAsia" w:ascii="宋体" w:hAnsi="宋体" w:eastAsia="宋体" w:cs="宋体"/>
          <w:b/>
          <w:color w:val="auto"/>
          <w:sz w:val="18"/>
          <w:szCs w:val="18"/>
          <w:u w:val="single"/>
          <w:lang w:val="en-US" w:eastAsia="zh-CN"/>
        </w:rPr>
        <w:t>具体时间以每年通知为准</w:t>
      </w:r>
    </w:p>
    <w:bookmarkEnd w:id="0"/>
    <w:p>
      <w:pPr>
        <w:spacing w:line="360" w:lineRule="auto"/>
        <w:ind w:left="271" w:hanging="271" w:hangingChars="150"/>
        <w:rPr>
          <w:rFonts w:ascii="宋体" w:hAnsi="宋体" w:eastAsia="宋体" w:cs="宋体"/>
          <w:b/>
          <w:sz w:val="18"/>
          <w:szCs w:val="18"/>
          <w:u w:val="single"/>
        </w:rPr>
      </w:pPr>
    </w:p>
    <w:p>
      <w:pPr>
        <w:numPr>
          <w:ilvl w:val="0"/>
          <w:numId w:val="1"/>
        </w:numPr>
        <w:spacing w:line="360" w:lineRule="auto"/>
        <w:ind w:right="-41"/>
        <w:rPr>
          <w:rFonts w:ascii="宋体" w:hAnsi="宋体" w:eastAsia="宋体" w:cs="宋体"/>
          <w:b/>
          <w:sz w:val="24"/>
          <w:szCs w:val="21"/>
        </w:rPr>
      </w:pPr>
      <w:r>
        <w:rPr>
          <w:rFonts w:hint="eastAsia" w:ascii="宋体" w:hAnsi="宋体" w:eastAsia="宋体" w:cs="宋体"/>
          <w:b/>
          <w:sz w:val="24"/>
          <w:szCs w:val="21"/>
        </w:rPr>
        <w:t>申请资料清单</w:t>
      </w:r>
    </w:p>
    <w:p>
      <w:pPr>
        <w:adjustRightInd w:val="0"/>
        <w:snapToGrid w:val="0"/>
        <w:spacing w:line="360" w:lineRule="auto"/>
        <w:rPr>
          <w:rFonts w:ascii="宋体" w:hAnsi="宋体" w:eastAsia="宋体" w:cs="宋体"/>
          <w:szCs w:val="18"/>
        </w:rPr>
      </w:pPr>
      <w:r>
        <w:rPr>
          <w:rFonts w:hint="eastAsia" w:ascii="宋体" w:hAnsi="宋体" w:eastAsia="宋体" w:cs="宋体"/>
          <w:szCs w:val="18"/>
        </w:rPr>
        <w:t>(1)  中、英文个人简历</w:t>
      </w:r>
    </w:p>
    <w:p>
      <w:pPr>
        <w:adjustRightInd w:val="0"/>
        <w:snapToGrid w:val="0"/>
        <w:spacing w:line="360" w:lineRule="auto"/>
        <w:rPr>
          <w:rFonts w:ascii="宋体" w:hAnsi="宋体" w:eastAsia="宋体" w:cs="宋体"/>
          <w:szCs w:val="18"/>
        </w:rPr>
      </w:pPr>
      <w:r>
        <w:rPr>
          <w:rFonts w:hint="eastAsia" w:ascii="宋体" w:hAnsi="宋体" w:eastAsia="宋体" w:cs="宋体"/>
          <w:szCs w:val="18"/>
        </w:rPr>
        <w:t xml:space="preserve">(2)  中、英文动机信（Motivation Letter） </w:t>
      </w:r>
    </w:p>
    <w:p>
      <w:pPr>
        <w:adjustRightInd w:val="0"/>
        <w:snapToGrid w:val="0"/>
        <w:spacing w:line="360" w:lineRule="auto"/>
        <w:rPr>
          <w:rFonts w:ascii="宋体" w:hAnsi="宋体" w:eastAsia="宋体" w:cs="宋体"/>
          <w:szCs w:val="18"/>
        </w:rPr>
      </w:pPr>
      <w:r>
        <w:rPr>
          <w:rFonts w:hint="eastAsia" w:ascii="宋体" w:hAnsi="宋体" w:eastAsia="宋体" w:cs="宋体"/>
          <w:szCs w:val="18"/>
        </w:rPr>
        <w:t>(3)  中、英文学习计划（Study Plan）</w:t>
      </w:r>
    </w:p>
    <w:p>
      <w:pPr>
        <w:adjustRightInd w:val="0"/>
        <w:snapToGrid w:val="0"/>
        <w:spacing w:line="360" w:lineRule="auto"/>
        <w:rPr>
          <w:rFonts w:ascii="宋体" w:hAnsi="宋体" w:eastAsia="宋体" w:cs="宋体"/>
          <w:szCs w:val="18"/>
        </w:rPr>
      </w:pPr>
      <w:r>
        <w:rPr>
          <w:rFonts w:hint="eastAsia" w:ascii="宋体" w:hAnsi="宋体" w:eastAsia="宋体" w:cs="宋体"/>
          <w:szCs w:val="18"/>
        </w:rPr>
        <w:t>(4)  语言水平证明材料（附英文翻译或说明-自行翻译）</w:t>
      </w:r>
    </w:p>
    <w:p>
      <w:pPr>
        <w:adjustRightInd w:val="0"/>
        <w:snapToGrid w:val="0"/>
        <w:spacing w:line="360" w:lineRule="auto"/>
        <w:rPr>
          <w:rFonts w:ascii="宋体" w:hAnsi="宋体" w:eastAsia="宋体" w:cs="宋体"/>
          <w:szCs w:val="18"/>
        </w:rPr>
      </w:pPr>
      <w:r>
        <w:rPr>
          <w:rFonts w:hint="eastAsia" w:ascii="宋体" w:hAnsi="宋体" w:eastAsia="宋体" w:cs="宋体"/>
          <w:szCs w:val="18"/>
        </w:rPr>
        <w:t>(5)  获奖证明材料（附英文翻译或说明-自行翻译）</w:t>
      </w:r>
    </w:p>
    <w:p>
      <w:pPr>
        <w:adjustRightInd w:val="0"/>
        <w:snapToGrid w:val="0"/>
        <w:spacing w:line="360" w:lineRule="auto"/>
        <w:rPr>
          <w:rFonts w:ascii="宋体" w:hAnsi="宋体" w:eastAsia="宋体" w:cs="宋体"/>
          <w:szCs w:val="18"/>
        </w:rPr>
      </w:pPr>
      <w:r>
        <w:rPr>
          <w:rFonts w:hint="eastAsia" w:ascii="宋体" w:hAnsi="宋体" w:eastAsia="宋体" w:cs="宋体"/>
          <w:szCs w:val="18"/>
        </w:rPr>
        <w:t>(6)  中、英文大学成绩单</w:t>
      </w:r>
      <w:r>
        <w:rPr>
          <w:rFonts w:hint="eastAsia" w:ascii="宋体" w:hAnsi="宋体" w:eastAsia="宋体" w:cs="宋体"/>
          <w:b/>
          <w:szCs w:val="18"/>
        </w:rPr>
        <w:t>（学生自行打印）</w:t>
      </w:r>
    </w:p>
    <w:p>
      <w:pPr>
        <w:adjustRightInd w:val="0"/>
        <w:snapToGrid w:val="0"/>
        <w:spacing w:line="360" w:lineRule="auto"/>
        <w:rPr>
          <w:rFonts w:ascii="宋体" w:hAnsi="宋体" w:eastAsia="宋体" w:cs="宋体"/>
          <w:szCs w:val="18"/>
        </w:rPr>
      </w:pPr>
      <w:r>
        <w:rPr>
          <w:rFonts w:hint="eastAsia" w:ascii="宋体" w:hAnsi="宋体" w:eastAsia="宋体" w:cs="宋体"/>
          <w:szCs w:val="18"/>
        </w:rPr>
        <w:t>(7)  中、英文成绩排名证明（学院开具，</w:t>
      </w:r>
      <w:r>
        <w:rPr>
          <w:rFonts w:hint="eastAsia" w:ascii="宋体" w:hAnsi="宋体" w:eastAsia="宋体" w:cs="宋体"/>
          <w:b/>
          <w:kern w:val="0"/>
          <w:szCs w:val="18"/>
        </w:rPr>
        <w:t>模板见附件</w:t>
      </w:r>
      <w:r>
        <w:rPr>
          <w:rFonts w:hint="eastAsia" w:ascii="宋体" w:hAnsi="宋体" w:eastAsia="宋体" w:cs="宋体"/>
          <w:szCs w:val="18"/>
        </w:rPr>
        <w:t>）</w:t>
      </w:r>
    </w:p>
    <w:p>
      <w:pPr>
        <w:adjustRightInd w:val="0"/>
        <w:snapToGrid w:val="0"/>
        <w:spacing w:line="360" w:lineRule="auto"/>
        <w:rPr>
          <w:rFonts w:ascii="宋体" w:hAnsi="宋体" w:eastAsia="宋体" w:cs="宋体"/>
          <w:szCs w:val="18"/>
        </w:rPr>
      </w:pPr>
      <w:r>
        <w:rPr>
          <w:rFonts w:hint="eastAsia" w:ascii="宋体" w:hAnsi="宋体" w:eastAsia="宋体" w:cs="宋体"/>
          <w:szCs w:val="18"/>
        </w:rPr>
        <w:t xml:space="preserve">(8)  中、英文在读证明（学院开具, </w:t>
      </w:r>
      <w:r>
        <w:rPr>
          <w:rFonts w:hint="eastAsia" w:ascii="宋体" w:hAnsi="宋体" w:eastAsia="宋体" w:cs="宋体"/>
          <w:b/>
          <w:kern w:val="0"/>
          <w:szCs w:val="18"/>
        </w:rPr>
        <w:t>模板见附件</w:t>
      </w:r>
      <w:r>
        <w:rPr>
          <w:rFonts w:hint="eastAsia" w:ascii="宋体" w:hAnsi="宋体" w:eastAsia="宋体" w:cs="宋体"/>
          <w:szCs w:val="18"/>
        </w:rPr>
        <w:t>） </w:t>
      </w:r>
    </w:p>
    <w:p>
      <w:pPr>
        <w:adjustRightInd w:val="0"/>
        <w:snapToGrid w:val="0"/>
        <w:spacing w:line="360" w:lineRule="auto"/>
        <w:rPr>
          <w:rFonts w:ascii="宋体" w:hAnsi="宋体" w:eastAsia="宋体" w:cs="宋体"/>
          <w:sz w:val="18"/>
          <w:szCs w:val="15"/>
        </w:rPr>
      </w:pPr>
      <w:r>
        <w:rPr>
          <w:rFonts w:hint="eastAsia" w:ascii="宋体" w:hAnsi="宋体" w:eastAsia="宋体" w:cs="宋体"/>
          <w:szCs w:val="18"/>
        </w:rPr>
        <w:t>(9)  一封教师推荐信（英文）</w:t>
      </w:r>
    </w:p>
    <w:p>
      <w:pPr>
        <w:adjustRightInd w:val="0"/>
        <w:snapToGrid w:val="0"/>
        <w:spacing w:line="360" w:lineRule="auto"/>
        <w:rPr>
          <w:rFonts w:ascii="宋体" w:hAnsi="宋体" w:eastAsia="宋体" w:cs="宋体"/>
          <w:b/>
          <w:kern w:val="0"/>
          <w:sz w:val="18"/>
          <w:szCs w:val="15"/>
          <w:u w:val="single"/>
        </w:rPr>
      </w:pPr>
      <w:r>
        <w:rPr>
          <w:rFonts w:hint="eastAsia" w:ascii="宋体" w:hAnsi="宋体" w:eastAsia="宋体" w:cs="宋体"/>
          <w:b/>
          <w:kern w:val="0"/>
          <w:sz w:val="18"/>
          <w:szCs w:val="15"/>
          <w:u w:val="single"/>
        </w:rPr>
        <w:t>注意：如相同专业有多个法国院校可以选择，请学生慎重考虑，最多可选择2所学校申请（每个学校1套申请材料）；1套完整材料包括2份中文纸质材料+2份英文纸质材料+1份PDF格式的中文材料汇总+1份PDF格式的英文材料汇总，材料汇总请按上述1-9顺序编排）</w:t>
      </w:r>
    </w:p>
    <w:p>
      <w:pPr>
        <w:adjustRightInd w:val="0"/>
        <w:snapToGrid w:val="0"/>
        <w:spacing w:line="360" w:lineRule="auto"/>
        <w:ind w:left="357"/>
        <w:rPr>
          <w:rFonts w:ascii="宋体" w:hAnsi="宋体" w:eastAsia="宋体" w:cs="宋体"/>
          <w:b/>
          <w:kern w:val="0"/>
          <w:sz w:val="6"/>
          <w:szCs w:val="6"/>
          <w:lang w:val="fr-FR"/>
        </w:rPr>
      </w:pPr>
    </w:p>
    <w:p>
      <w:pPr>
        <w:adjustRightInd w:val="0"/>
        <w:snapToGrid w:val="0"/>
        <w:spacing w:line="360" w:lineRule="auto"/>
        <w:jc w:val="center"/>
        <w:rPr>
          <w:rFonts w:ascii="宋体" w:hAnsi="宋体" w:eastAsia="宋体" w:cs="宋体"/>
          <w:b/>
          <w:sz w:val="24"/>
          <w:u w:val="single"/>
        </w:rPr>
      </w:pPr>
      <w:r>
        <w:rPr>
          <w:rFonts w:hint="eastAsia" w:ascii="宋体" w:hAnsi="宋体" w:eastAsia="宋体" w:cs="宋体"/>
          <w:b/>
          <w:sz w:val="24"/>
          <w:u w:val="single"/>
        </w:rPr>
        <w:t>交通学院中法双文凭项目一览表</w:t>
      </w:r>
    </w:p>
    <w:tbl>
      <w:tblPr>
        <w:tblStyle w:val="5"/>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070"/>
        <w:gridCol w:w="1267"/>
        <w:gridCol w:w="948"/>
        <w:gridCol w:w="2650"/>
        <w:gridCol w:w="97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合作学校</w:t>
            </w:r>
          </w:p>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（中文名）</w:t>
            </w: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合作学校</w:t>
            </w:r>
          </w:p>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（法文名或简称）</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网址</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所在</w:t>
            </w:r>
          </w:p>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城市</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合作专业</w:t>
            </w: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录取</w:t>
            </w:r>
          </w:p>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名额</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kern w:val="0"/>
                <w:sz w:val="18"/>
                <w:szCs w:val="18"/>
              </w:rPr>
            </w:pPr>
            <w:r>
              <w:rPr>
                <w:rFonts w:hint="eastAsia" w:ascii="宋体" w:hAnsi="宋体" w:eastAsia="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巴黎高科—国立桥路学校</w:t>
            </w: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lang w:val="fr-CA"/>
              </w:rPr>
            </w:pPr>
            <w:r>
              <w:rPr>
                <w:rFonts w:hint="eastAsia" w:ascii="宋体" w:hAnsi="宋体" w:eastAsia="宋体" w:cs="宋体"/>
                <w:sz w:val="18"/>
                <w:szCs w:val="18"/>
                <w:lang w:val="fr-FR"/>
              </w:rPr>
              <w:t>ENPC</w:t>
            </w:r>
            <w:r>
              <w:rPr>
                <w:rFonts w:hint="eastAsia" w:ascii="宋体" w:hAnsi="宋体" w:eastAsia="宋体" w:cs="宋体"/>
                <w:sz w:val="18"/>
                <w:szCs w:val="18"/>
              </w:rPr>
              <w:t>或</w:t>
            </w:r>
            <w:r>
              <w:rPr>
                <w:rFonts w:hint="eastAsia" w:ascii="宋体" w:hAnsi="宋体" w:eastAsia="宋体" w:cs="宋体"/>
                <w:sz w:val="18"/>
                <w:szCs w:val="18"/>
                <w:lang w:val="fr-FR"/>
              </w:rPr>
              <w:t>Ecole des Ponts ParisTech</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lang w:val="fr-CA"/>
              </w:rPr>
            </w:pPr>
            <w:r>
              <w:rPr>
                <w:rFonts w:hint="eastAsia" w:ascii="宋体" w:hAnsi="宋体" w:eastAsia="宋体" w:cs="宋体"/>
                <w:kern w:val="0"/>
                <w:sz w:val="18"/>
                <w:szCs w:val="18"/>
              </w:rPr>
              <w:t>www.enpc.fr</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lang w:val="fr-CA"/>
              </w:rPr>
            </w:pPr>
            <w:r>
              <w:rPr>
                <w:rFonts w:hint="eastAsia" w:ascii="宋体" w:hAnsi="宋体" w:eastAsia="宋体" w:cs="宋体"/>
                <w:kern w:val="0"/>
                <w:sz w:val="18"/>
                <w:szCs w:val="18"/>
              </w:rPr>
              <w:t>巴黎</w:t>
            </w:r>
          </w:p>
        </w:tc>
        <w:tc>
          <w:tcPr>
            <w:tcW w:w="265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18"/>
                <w:szCs w:val="18"/>
              </w:rPr>
            </w:pPr>
            <w:r>
              <w:rPr>
                <w:rFonts w:hint="eastAsia" w:ascii="宋体" w:hAnsi="宋体" w:eastAsia="宋体" w:cs="宋体"/>
                <w:b/>
                <w:sz w:val="18"/>
                <w:szCs w:val="18"/>
              </w:rPr>
              <w:t>本科：</w:t>
            </w:r>
            <w:r>
              <w:rPr>
                <w:rFonts w:hint="eastAsia" w:ascii="宋体" w:hAnsi="宋体" w:eastAsia="宋体" w:cs="宋体"/>
                <w:sz w:val="18"/>
                <w:szCs w:val="18"/>
              </w:rPr>
              <w:t xml:space="preserve">  *交通工程15014</w:t>
            </w:r>
          </w:p>
          <w:p>
            <w:pPr>
              <w:pStyle w:val="4"/>
              <w:spacing w:beforeAutospacing="0" w:afterAutospacing="0" w:line="360" w:lineRule="auto"/>
              <w:ind w:firstLine="720" w:firstLineChars="400"/>
              <w:jc w:val="center"/>
              <w:rPr>
                <w:rFonts w:ascii="宋体" w:hAnsi="宋体" w:eastAsia="宋体" w:cs="宋体"/>
                <w:sz w:val="18"/>
                <w:szCs w:val="18"/>
              </w:rPr>
            </w:pPr>
            <w:r>
              <w:rPr>
                <w:rFonts w:hint="eastAsia" w:ascii="宋体" w:hAnsi="宋体" w:eastAsia="宋体" w:cs="宋体"/>
                <w:sz w:val="18"/>
                <w:szCs w:val="18"/>
              </w:rPr>
              <w:t>*交通运输15024</w:t>
            </w:r>
          </w:p>
          <w:p>
            <w:pPr>
              <w:pStyle w:val="4"/>
              <w:spacing w:beforeAutospacing="0" w:afterAutospacing="0" w:line="360" w:lineRule="auto"/>
              <w:ind w:firstLine="720" w:firstLineChars="400"/>
              <w:jc w:val="center"/>
              <w:rPr>
                <w:rFonts w:ascii="宋体" w:hAnsi="宋体" w:eastAsia="宋体" w:cs="宋体"/>
                <w:sz w:val="18"/>
                <w:szCs w:val="18"/>
              </w:rPr>
            </w:pPr>
            <w:r>
              <w:rPr>
                <w:rFonts w:hint="eastAsia" w:ascii="宋体" w:hAnsi="宋体" w:eastAsia="宋体" w:cs="宋体"/>
                <w:sz w:val="18"/>
                <w:szCs w:val="18"/>
              </w:rPr>
              <w:t>*物流工程15034</w:t>
            </w:r>
          </w:p>
          <w:p>
            <w:pPr>
              <w:adjustRightInd w:val="0"/>
              <w:snapToGrid w:val="0"/>
              <w:spacing w:line="360" w:lineRule="auto"/>
              <w:jc w:val="center"/>
              <w:rPr>
                <w:rFonts w:ascii="宋体" w:hAnsi="宋体" w:eastAsia="宋体" w:cs="宋体"/>
                <w:sz w:val="18"/>
                <w:szCs w:val="18"/>
              </w:rPr>
            </w:pPr>
          </w:p>
          <w:p>
            <w:pPr>
              <w:spacing w:line="360" w:lineRule="auto"/>
              <w:jc w:val="center"/>
              <w:rPr>
                <w:rFonts w:ascii="宋体" w:hAnsi="宋体" w:eastAsia="宋体" w:cs="宋体"/>
                <w:kern w:val="0"/>
                <w:sz w:val="18"/>
                <w:szCs w:val="18"/>
                <w:lang w:val="fr-CA"/>
              </w:rPr>
            </w:pPr>
            <w:r>
              <w:rPr>
                <w:rFonts w:hint="eastAsia" w:ascii="宋体" w:hAnsi="宋体" w:eastAsia="宋体" w:cs="宋体"/>
                <w:b/>
                <w:sz w:val="18"/>
                <w:szCs w:val="18"/>
              </w:rPr>
              <w:t>硕士：</w:t>
            </w:r>
            <w:r>
              <w:rPr>
                <w:rFonts w:hint="eastAsia" w:ascii="宋体" w:hAnsi="宋体" w:eastAsia="宋体" w:cs="宋体"/>
                <w:sz w:val="18"/>
                <w:szCs w:val="18"/>
              </w:rPr>
              <w:t>*交通运输工程082300</w:t>
            </w: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lang w:val="fr-CA"/>
              </w:rPr>
            </w:pPr>
            <w:r>
              <w:rPr>
                <w:rFonts w:hint="eastAsia" w:ascii="宋体" w:hAnsi="宋体" w:eastAsia="宋体" w:cs="宋体"/>
                <w:kern w:val="0"/>
                <w:sz w:val="18"/>
                <w:szCs w:val="18"/>
              </w:rPr>
              <w:t>2人/年</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绩点（GPA）4.5及以上，必须免试直升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国立公共工程学校</w:t>
            </w: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ENTPE</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www.entpe.fr</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里昂</w:t>
            </w:r>
          </w:p>
        </w:tc>
        <w:tc>
          <w:tcPr>
            <w:tcW w:w="265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5人/年</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高等公共工程学校</w:t>
            </w:r>
          </w:p>
        </w:tc>
        <w:tc>
          <w:tcPr>
            <w:tcW w:w="1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ESTP</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www.estp.fr</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巴黎</w:t>
            </w:r>
          </w:p>
        </w:tc>
        <w:tc>
          <w:tcPr>
            <w:tcW w:w="265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r>
              <w:rPr>
                <w:rFonts w:hint="eastAsia" w:ascii="宋体" w:hAnsi="宋体" w:eastAsia="宋体" w:cs="宋体"/>
                <w:kern w:val="0"/>
                <w:sz w:val="18"/>
                <w:szCs w:val="18"/>
              </w:rPr>
              <w:t>5人/年</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18"/>
                <w:szCs w:val="18"/>
              </w:rPr>
            </w:pPr>
          </w:p>
        </w:tc>
      </w:tr>
    </w:tbl>
    <w:p>
      <w:pPr>
        <w:adjustRightInd w:val="0"/>
        <w:snapToGrid w:val="0"/>
        <w:spacing w:line="360" w:lineRule="auto"/>
        <w:rPr>
          <w:rFonts w:ascii="宋体" w:hAnsi="宋体" w:eastAsia="宋体" w:cs="宋体"/>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01E11"/>
    <w:multiLevelType w:val="multilevel"/>
    <w:tmpl w:val="03B01E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E524DA"/>
    <w:multiLevelType w:val="singleLevel"/>
    <w:tmpl w:val="20E524DA"/>
    <w:lvl w:ilvl="0" w:tentative="0">
      <w:start w:val="1"/>
      <w:numFmt w:val="chineseCounting"/>
      <w:suff w:val="nothing"/>
      <w:lvlText w:val="%1、"/>
      <w:lvlJc w:val="left"/>
      <w:rPr>
        <w:rFonts w:hint="eastAsia"/>
      </w:rPr>
    </w:lvl>
  </w:abstractNum>
  <w:abstractNum w:abstractNumId="2">
    <w:nsid w:val="313920E7"/>
    <w:multiLevelType w:val="multilevel"/>
    <w:tmpl w:val="313920E7"/>
    <w:lvl w:ilvl="0" w:tentative="0">
      <w:start w:val="9"/>
      <w:numFmt w:val="bullet"/>
      <w:lvlText w:val="●"/>
      <w:lvlJc w:val="left"/>
      <w:pPr>
        <w:ind w:left="360" w:hanging="360"/>
      </w:pPr>
      <w:rPr>
        <w:rFonts w:hint="eastAsia" w:ascii="楷体_GB2312" w:hAnsi="Times New Roman" w:eastAsia="楷体_GB2312" w:cs="Times New Roman"/>
        <w:color w:val="000000"/>
        <w:sz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F360315"/>
    <w:multiLevelType w:val="multilevel"/>
    <w:tmpl w:val="7F360315"/>
    <w:lvl w:ilvl="0" w:tentative="0">
      <w:start w:val="1"/>
      <w:numFmt w:val="decimal"/>
      <w:lvlText w:val="（%1）"/>
      <w:lvlJc w:val="left"/>
      <w:pPr>
        <w:ind w:left="649" w:hanging="720"/>
      </w:pPr>
      <w:rPr>
        <w:rFonts w:ascii="Times New Roman" w:hAnsi="华文楷体" w:eastAsia="华文楷体" w:cs="Times New Roman"/>
      </w:rPr>
    </w:lvl>
    <w:lvl w:ilvl="1" w:tentative="0">
      <w:start w:val="1"/>
      <w:numFmt w:val="lowerLetter"/>
      <w:lvlText w:val="%2)"/>
      <w:lvlJc w:val="left"/>
      <w:pPr>
        <w:ind w:left="769" w:hanging="420"/>
      </w:pPr>
    </w:lvl>
    <w:lvl w:ilvl="2" w:tentative="0">
      <w:start w:val="1"/>
      <w:numFmt w:val="lowerRoman"/>
      <w:lvlText w:val="%3."/>
      <w:lvlJc w:val="right"/>
      <w:pPr>
        <w:ind w:left="1189" w:hanging="420"/>
      </w:pPr>
    </w:lvl>
    <w:lvl w:ilvl="3" w:tentative="0">
      <w:start w:val="1"/>
      <w:numFmt w:val="decimal"/>
      <w:lvlText w:val="%4."/>
      <w:lvlJc w:val="left"/>
      <w:pPr>
        <w:ind w:left="1609" w:hanging="420"/>
      </w:pPr>
    </w:lvl>
    <w:lvl w:ilvl="4" w:tentative="0">
      <w:start w:val="1"/>
      <w:numFmt w:val="lowerLetter"/>
      <w:lvlText w:val="%5)"/>
      <w:lvlJc w:val="left"/>
      <w:pPr>
        <w:ind w:left="2029" w:hanging="420"/>
      </w:pPr>
    </w:lvl>
    <w:lvl w:ilvl="5" w:tentative="0">
      <w:start w:val="1"/>
      <w:numFmt w:val="lowerRoman"/>
      <w:lvlText w:val="%6."/>
      <w:lvlJc w:val="right"/>
      <w:pPr>
        <w:ind w:left="2449" w:hanging="420"/>
      </w:pPr>
    </w:lvl>
    <w:lvl w:ilvl="6" w:tentative="0">
      <w:start w:val="1"/>
      <w:numFmt w:val="decimal"/>
      <w:lvlText w:val="%7."/>
      <w:lvlJc w:val="left"/>
      <w:pPr>
        <w:ind w:left="2869" w:hanging="420"/>
      </w:pPr>
    </w:lvl>
    <w:lvl w:ilvl="7" w:tentative="0">
      <w:start w:val="1"/>
      <w:numFmt w:val="lowerLetter"/>
      <w:lvlText w:val="%8)"/>
      <w:lvlJc w:val="left"/>
      <w:pPr>
        <w:ind w:left="3289" w:hanging="420"/>
      </w:pPr>
    </w:lvl>
    <w:lvl w:ilvl="8" w:tentative="0">
      <w:start w:val="1"/>
      <w:numFmt w:val="lowerRoman"/>
      <w:lvlText w:val="%9."/>
      <w:lvlJc w:val="right"/>
      <w:pPr>
        <w:ind w:left="3709"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60D32"/>
    <w:rsid w:val="00005602"/>
    <w:rsid w:val="00101D95"/>
    <w:rsid w:val="001646B6"/>
    <w:rsid w:val="0017103E"/>
    <w:rsid w:val="00471D09"/>
    <w:rsid w:val="004E6A2B"/>
    <w:rsid w:val="00786067"/>
    <w:rsid w:val="00D55DD3"/>
    <w:rsid w:val="00EF01EC"/>
    <w:rsid w:val="00F824B9"/>
    <w:rsid w:val="0C5B3331"/>
    <w:rsid w:val="0E853C80"/>
    <w:rsid w:val="1148465F"/>
    <w:rsid w:val="2CA60D32"/>
    <w:rsid w:val="2E7E6BDA"/>
    <w:rsid w:val="5BA7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7"/>
    <w:uiPriority w:val="0"/>
    <w:pPr>
      <w:tabs>
        <w:tab w:val="center" w:pos="4153"/>
        <w:tab w:val="right" w:pos="8306"/>
      </w:tabs>
      <w:snapToGrid w:val="0"/>
      <w:jc w:val="left"/>
    </w:pPr>
    <w:rPr>
      <w:sz w:val="18"/>
      <w:szCs w:val="18"/>
    </w:rPr>
  </w:style>
  <w:style w:type="paragraph" w:styleId="3">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dwjl"/>
    <w:basedOn w:val="6"/>
    <w:qFormat/>
    <w:uiPriority w:val="0"/>
  </w:style>
  <w:style w:type="character" w:customStyle="1" w:styleId="10">
    <w:name w:val="xsgz"/>
    <w:basedOn w:val="6"/>
    <w:qFormat/>
    <w:uiPriority w:val="0"/>
  </w:style>
  <w:style w:type="character" w:customStyle="1" w:styleId="11">
    <w:name w:val="listcontent"/>
    <w:basedOn w:val="6"/>
    <w:qFormat/>
    <w:uiPriority w:val="0"/>
    <w:rPr>
      <w:color w:val="444444"/>
      <w:sz w:val="14"/>
      <w:szCs w:val="14"/>
    </w:rPr>
  </w:style>
  <w:style w:type="character" w:customStyle="1" w:styleId="12">
    <w:name w:val="jxpy"/>
    <w:basedOn w:val="6"/>
    <w:uiPriority w:val="0"/>
  </w:style>
  <w:style w:type="character" w:customStyle="1" w:styleId="13">
    <w:name w:val="rczp"/>
    <w:basedOn w:val="6"/>
    <w:qFormat/>
    <w:uiPriority w:val="0"/>
  </w:style>
  <w:style w:type="character" w:customStyle="1" w:styleId="14">
    <w:name w:val="position"/>
    <w:basedOn w:val="6"/>
    <w:uiPriority w:val="0"/>
    <w:rPr>
      <w:color w:val="004681"/>
      <w:sz w:val="14"/>
      <w:szCs w:val="14"/>
    </w:rPr>
  </w:style>
  <w:style w:type="character" w:customStyle="1" w:styleId="15">
    <w:name w:val="readpoint2"/>
    <w:basedOn w:val="6"/>
    <w:uiPriority w:val="0"/>
    <w:rPr>
      <w:vanish/>
    </w:rPr>
  </w:style>
  <w:style w:type="character" w:customStyle="1" w:styleId="16">
    <w:name w:val="页眉 字符"/>
    <w:basedOn w:val="6"/>
    <w:link w:val="3"/>
    <w:uiPriority w:val="0"/>
    <w:rPr>
      <w:rFonts w:asciiTheme="minorHAnsi" w:hAnsiTheme="minorHAnsi" w:eastAsiaTheme="minorEastAsia" w:cstheme="minorBidi"/>
      <w:kern w:val="2"/>
      <w:sz w:val="18"/>
      <w:szCs w:val="18"/>
    </w:rPr>
  </w:style>
  <w:style w:type="character" w:customStyle="1" w:styleId="17">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Pages>
  <Words>360</Words>
  <Characters>2055</Characters>
  <Lines>17</Lines>
  <Paragraphs>4</Paragraphs>
  <TotalTime>0</TotalTime>
  <ScaleCrop>false</ScaleCrop>
  <LinksUpToDate>false</LinksUpToDate>
  <CharactersWithSpaces>2411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2021-05-08T00:50:00Z</dcterms:created>
  <dc:creator>-DCT-</dc:creator>
  <cp:lastModifiedBy>-DCT-</cp:lastModifiedBy>
  <dcterms:modified xsi:type="dcterms:W3CDTF">2021-06-09T07:38:01Z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2521EE0E5AD14145ABB0E652F54B3331</vt:lpwstr>
  </property>
</Properties>
</file>